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517-т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Об установлении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тарифов на техническую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для расчетов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2028 годы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</w:t>
        <w:br/>
        <w:t xml:space="preserve">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709"/>
        <w:jc w:val="both"/>
        <w:spacing w:before="0" w:after="0"/>
        <w:rPr>
          <w:rFonts w:ascii="Liberation Sans" w:hAnsi="Liberation Sans" w:cs="Liberation Sans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1. Установить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b w:val="0"/>
            <w:bCs w:val="0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техническую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воду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для расчетов </w:t>
        <w:br/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с потребителями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и долгосрочных параметров регулирования тарифов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на 2024 –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2028 годы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8"/>
          <w:szCs w:val="28"/>
        </w:rPr>
        <w:t xml:space="preserve"> согласно приложению № 1.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Установить долгосрочные </w:t>
      </w:r>
      <w:hyperlink r:id="rId13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 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рования для формирования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с использованием метода индексации установленных тарифов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муниципальному производственному предприятию жилищно-коммунального хозяйства муниципального образования город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Лабытнанги «Ямал»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на 2024 - 2028 годы согласно приложению № 2.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4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5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2028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1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517-т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ТАРИФЫ 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НА ТЕХНИЧЕСКУЮ ВОДУ, УСТАНОВЛЕННЫЕ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 ДЛЯ РАСЧЕТОВ 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Arial" w:cs="Liberation Sans"/>
          <w:b w:val="0"/>
          <w:bCs w:val="0"/>
          <w:color w:val="000000"/>
          <w:sz w:val="24"/>
        </w:rPr>
        <w:t xml:space="preserve">С ПОТРЕБИТЕЛЯМИ </w:t>
      </w:r>
      <w:r>
        <w:rPr>
          <w:rFonts w:ascii="Liberation Sans" w:hAnsi="Liberation Sans" w:cs="Liberation Sans"/>
          <w:sz w:val="24"/>
          <w:szCs w:val="24"/>
        </w:rPr>
        <w:t xml:space="preserve"> НА 2024 - 2028 ГОДЫ</w:t>
      </w:r>
      <w:r>
        <w:rPr>
          <w:rFonts w:ascii="Liberation Sans" w:hAnsi="Liberation Sans" w:cs="Liberation Sans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водоснабжения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техническую воду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250,39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269,77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52,83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56,78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63,39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68,14</w:t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водоснабжения,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</w:t>
        <w:br/>
        <w:t xml:space="preserve">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водоснабжения, указанные в пункте 1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</w:t>
        <w:br/>
        <w:t xml:space="preserve">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517-т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ДОЛГОСРОЧНЫЕ ПАРАМЕТРЫ РЕГУЛИРОВАНИЯ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  <w:t xml:space="preserve">ТАРИФОВ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, УСТАНАВЛИВАЕМЫЕ НА ДОЛГОСРОЧНЫЙ ПЕРИОД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РЕГУЛИРО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ВАНИЯ ДЛЯ ФОРМИРОВАНИЯ ТАРИФОВ С ИСПОЛЬЗОВАНИЕМ МЕТОДА ИНДЕКСАЦИИ УСТАНОВЛЕННЫХ ТАРИФОВ </w:t>
      </w:r>
      <w:r>
        <w:rPr>
          <w:rFonts w:ascii="Liberation Sans" w:hAnsi="Liberation Sans" w:eastAsia="Liberation Serif" w:cs="Liberation Sans"/>
          <w:b w:val="0"/>
          <w:sz w:val="24"/>
          <w:szCs w:val="24"/>
        </w:rPr>
        <w:t xml:space="preserve">МУНИЦИПАЛЬНОМУ ПРОИЗВОДСТВЕННОМУ ПРЕДПРИЯТИЮ ЖИЛИЩНО-КОММУНАЛЬНОГО ХОЗЯЙСТВА МУНИЦИПАЛЬНОГО ОБРАЗОВАНИЯ ГОРОД ЛАБЫТНАНГИ «ЯМАЛ»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 НА 2024 – 2028 ГОДЫ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99"/>
        <w:gridCol w:w="2477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5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Муниципальное производственное предприятие жилищно-коммунального хозяйства муниципального образования город </w:t>
            </w:r>
            <w:r>
              <w:rPr>
                <w:rFonts w:ascii="Liberation Sans" w:hAnsi="Liberation Sans" w:eastAsia="Liberation Serif" w:cs="Liberation Sans"/>
                <w:b w:val="0"/>
                <w:bCs w:val="0"/>
                <w:sz w:val="24"/>
                <w:szCs w:val="24"/>
              </w:rPr>
              <w:t xml:space="preserve">Лабытнанги «Ямал»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40 279,48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10,36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lang w:eastAsia="zh-CN"/>
              </w:rPr>
              <w:t xml:space="preserve">0,42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22</cp:revision>
  <dcterms:created xsi:type="dcterms:W3CDTF">2022-10-31T11:46:00Z</dcterms:created>
  <dcterms:modified xsi:type="dcterms:W3CDTF">2023-12-16T10:26:47Z</dcterms:modified>
</cp:coreProperties>
</file>